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67" w:rsidRDefault="00284C67">
      <w:pPr>
        <w:rPr>
          <w:b/>
          <w:sz w:val="28"/>
          <w:szCs w:val="28"/>
        </w:rPr>
      </w:pPr>
      <w:bookmarkStart w:id="0" w:name="_GoBack"/>
      <w:bookmarkEnd w:id="0"/>
      <w:r>
        <w:rPr>
          <w:b/>
          <w:sz w:val="28"/>
          <w:szCs w:val="28"/>
        </w:rPr>
        <w:t>Victorian Inter-Church Gambling Taskforce</w:t>
      </w:r>
    </w:p>
    <w:p w:rsidR="00B4531D" w:rsidRDefault="00B4531D">
      <w:pPr>
        <w:rPr>
          <w:b/>
          <w:sz w:val="28"/>
          <w:szCs w:val="28"/>
        </w:rPr>
      </w:pPr>
    </w:p>
    <w:p w:rsidR="00284C67" w:rsidRDefault="00284C67">
      <w:pPr>
        <w:rPr>
          <w:b/>
          <w:sz w:val="28"/>
          <w:szCs w:val="28"/>
        </w:rPr>
      </w:pPr>
      <w:r>
        <w:rPr>
          <w:b/>
          <w:sz w:val="28"/>
          <w:szCs w:val="28"/>
        </w:rPr>
        <w:t>Reining in Pokies Harm</w:t>
      </w:r>
    </w:p>
    <w:p w:rsidR="00284C67" w:rsidRDefault="00284C67" w:rsidP="00284C67">
      <w:pPr>
        <w:jc w:val="right"/>
        <w:rPr>
          <w:b/>
          <w:szCs w:val="22"/>
        </w:rPr>
      </w:pPr>
      <w:r>
        <w:rPr>
          <w:b/>
          <w:szCs w:val="22"/>
        </w:rPr>
        <w:t>Issued July 2014</w:t>
      </w:r>
    </w:p>
    <w:p w:rsidR="00284C67" w:rsidRPr="00284C67" w:rsidRDefault="00284C67" w:rsidP="00284C67">
      <w:pPr>
        <w:jc w:val="both"/>
        <w:rPr>
          <w:rFonts w:cs="Arial"/>
          <w:i/>
          <w:szCs w:val="22"/>
          <w:lang w:val="en-US"/>
        </w:rPr>
      </w:pPr>
      <w:r w:rsidRPr="00284C67">
        <w:rPr>
          <w:rFonts w:cs="Arial"/>
          <w:i/>
          <w:szCs w:val="22"/>
          <w:lang w:val="en-US"/>
        </w:rPr>
        <w:t>“Surely the venues should have a duty of care. They were allowing her to come in relentlessly and consistently for 10 years…. Even when they see someone going repeatedly to an ATM machine they are not obliged to say something or restrict the use of a machine. Something is very wrong here. There needs to be a sense of accountability for the problem of gambling to be addressed.”</w:t>
      </w:r>
    </w:p>
    <w:p w:rsidR="00284C67" w:rsidRPr="00284C67" w:rsidRDefault="00284C67" w:rsidP="00284C67">
      <w:pPr>
        <w:jc w:val="both"/>
        <w:rPr>
          <w:rFonts w:cs="Arial"/>
          <w:szCs w:val="22"/>
          <w:lang w:val="en-US"/>
        </w:rPr>
      </w:pPr>
      <w:r w:rsidRPr="00284C67">
        <w:rPr>
          <w:rFonts w:cs="Arial"/>
          <w:szCs w:val="22"/>
          <w:lang w:val="en-US"/>
        </w:rPr>
        <w:t xml:space="preserve">Tracy Smith from </w:t>
      </w:r>
      <w:proofErr w:type="spellStart"/>
      <w:r w:rsidRPr="00284C67">
        <w:rPr>
          <w:rFonts w:cs="Arial"/>
          <w:szCs w:val="22"/>
          <w:lang w:val="en-US"/>
        </w:rPr>
        <w:t>Ballarat</w:t>
      </w:r>
      <w:proofErr w:type="spellEnd"/>
      <w:r w:rsidRPr="00284C67">
        <w:rPr>
          <w:rFonts w:cs="Arial"/>
          <w:szCs w:val="22"/>
          <w:lang w:val="en-US"/>
        </w:rPr>
        <w:t>, whose sister, Julie, committed suicide due to losses from a pokies addiction.</w:t>
      </w:r>
    </w:p>
    <w:p w:rsidR="00284C67" w:rsidRPr="00284C67" w:rsidRDefault="00284C67" w:rsidP="00284C67">
      <w:pPr>
        <w:jc w:val="both"/>
        <w:rPr>
          <w:rFonts w:cs="Arial"/>
          <w:szCs w:val="22"/>
        </w:rPr>
      </w:pPr>
    </w:p>
    <w:p w:rsidR="00284C67" w:rsidRPr="00284C67" w:rsidRDefault="00284C67" w:rsidP="00284C67">
      <w:pPr>
        <w:jc w:val="both"/>
        <w:rPr>
          <w:rFonts w:cs="Arial"/>
          <w:b/>
          <w:szCs w:val="22"/>
        </w:rPr>
      </w:pPr>
      <w:r w:rsidRPr="00284C67">
        <w:rPr>
          <w:rFonts w:cs="Arial"/>
          <w:szCs w:val="22"/>
        </w:rPr>
        <w:t>The Victorian Inter-Church Gambling Taskforce remains concerned at the harms caused by gambling in our community. The harms caused by problem gambling include:</w:t>
      </w:r>
    </w:p>
    <w:p w:rsidR="00284C67" w:rsidRPr="00284C67" w:rsidRDefault="00284C67" w:rsidP="00284C67">
      <w:pPr>
        <w:numPr>
          <w:ilvl w:val="0"/>
          <w:numId w:val="3"/>
        </w:numPr>
        <w:jc w:val="both"/>
        <w:rPr>
          <w:rFonts w:cs="Arial"/>
          <w:b/>
          <w:szCs w:val="22"/>
        </w:rPr>
      </w:pPr>
      <w:r w:rsidRPr="00284C67">
        <w:rPr>
          <w:rFonts w:cs="Arial"/>
          <w:szCs w:val="22"/>
        </w:rPr>
        <w:t>Suicides;</w:t>
      </w:r>
    </w:p>
    <w:p w:rsidR="00284C67" w:rsidRPr="00284C67" w:rsidRDefault="00284C67" w:rsidP="00284C67">
      <w:pPr>
        <w:numPr>
          <w:ilvl w:val="0"/>
          <w:numId w:val="3"/>
        </w:numPr>
        <w:jc w:val="both"/>
        <w:rPr>
          <w:rFonts w:cs="Arial"/>
          <w:b/>
          <w:szCs w:val="22"/>
        </w:rPr>
      </w:pPr>
      <w:r w:rsidRPr="00284C67">
        <w:rPr>
          <w:rFonts w:cs="Arial"/>
          <w:szCs w:val="22"/>
        </w:rPr>
        <w:t>Relationship breakdown;</w:t>
      </w:r>
    </w:p>
    <w:p w:rsidR="00284C67" w:rsidRPr="00284C67" w:rsidRDefault="00284C67" w:rsidP="00284C67">
      <w:pPr>
        <w:numPr>
          <w:ilvl w:val="0"/>
          <w:numId w:val="3"/>
        </w:numPr>
        <w:jc w:val="both"/>
        <w:rPr>
          <w:rFonts w:cs="Arial"/>
          <w:b/>
          <w:szCs w:val="22"/>
        </w:rPr>
      </w:pPr>
      <w:r w:rsidRPr="00284C67">
        <w:rPr>
          <w:rFonts w:cs="Arial"/>
          <w:szCs w:val="22"/>
        </w:rPr>
        <w:t>Bankruptcy;</w:t>
      </w:r>
    </w:p>
    <w:p w:rsidR="00284C67" w:rsidRPr="00284C67" w:rsidRDefault="00284C67" w:rsidP="00284C67">
      <w:pPr>
        <w:numPr>
          <w:ilvl w:val="0"/>
          <w:numId w:val="3"/>
        </w:numPr>
        <w:jc w:val="both"/>
        <w:rPr>
          <w:rFonts w:cs="Arial"/>
          <w:b/>
          <w:szCs w:val="22"/>
        </w:rPr>
      </w:pPr>
      <w:r w:rsidRPr="00284C67">
        <w:rPr>
          <w:rFonts w:cs="Arial"/>
          <w:szCs w:val="22"/>
        </w:rPr>
        <w:t>Lowered productivity and job loss;</w:t>
      </w:r>
    </w:p>
    <w:p w:rsidR="00284C67" w:rsidRPr="00284C67" w:rsidRDefault="00284C67" w:rsidP="00284C67">
      <w:pPr>
        <w:numPr>
          <w:ilvl w:val="0"/>
          <w:numId w:val="3"/>
        </w:numPr>
        <w:jc w:val="both"/>
        <w:rPr>
          <w:rFonts w:cs="Arial"/>
          <w:b/>
          <w:szCs w:val="22"/>
        </w:rPr>
      </w:pPr>
      <w:r w:rsidRPr="00284C67">
        <w:rPr>
          <w:rFonts w:cs="Arial"/>
          <w:szCs w:val="22"/>
        </w:rPr>
        <w:t>Depression and anxiety; and</w:t>
      </w:r>
    </w:p>
    <w:p w:rsidR="00284C67" w:rsidRPr="00284C67" w:rsidRDefault="00284C67" w:rsidP="00284C67">
      <w:pPr>
        <w:numPr>
          <w:ilvl w:val="0"/>
          <w:numId w:val="3"/>
        </w:numPr>
        <w:jc w:val="both"/>
        <w:rPr>
          <w:rFonts w:cs="Arial"/>
          <w:b/>
          <w:szCs w:val="22"/>
        </w:rPr>
      </w:pPr>
      <w:r w:rsidRPr="00284C67">
        <w:rPr>
          <w:rFonts w:cs="Arial"/>
          <w:szCs w:val="22"/>
        </w:rPr>
        <w:t>Crime (especially fraud).</w:t>
      </w:r>
    </w:p>
    <w:p w:rsidR="00284C67" w:rsidRPr="00284C67" w:rsidRDefault="00284C67" w:rsidP="00284C67">
      <w:pPr>
        <w:jc w:val="both"/>
        <w:rPr>
          <w:rFonts w:cs="Arial"/>
          <w:szCs w:val="22"/>
        </w:rPr>
      </w:pPr>
    </w:p>
    <w:p w:rsidR="00284C67" w:rsidRPr="00284C67" w:rsidRDefault="00284C67" w:rsidP="00284C67">
      <w:pPr>
        <w:jc w:val="both"/>
        <w:rPr>
          <w:rFonts w:cs="Arial"/>
          <w:szCs w:val="22"/>
        </w:rPr>
      </w:pPr>
      <w:r w:rsidRPr="00284C67">
        <w:rPr>
          <w:rFonts w:cs="Arial"/>
          <w:szCs w:val="22"/>
        </w:rPr>
        <w:t xml:space="preserve">For every person with a gambling problem, the lives of several people will be impacted including dependent children, spouses, anyone in their care, employers and work colleagues. </w:t>
      </w:r>
    </w:p>
    <w:p w:rsidR="00284C67" w:rsidRPr="00284C67" w:rsidRDefault="00284C67" w:rsidP="00284C67">
      <w:pPr>
        <w:jc w:val="both"/>
        <w:rPr>
          <w:rFonts w:cs="Arial"/>
          <w:szCs w:val="22"/>
        </w:rPr>
      </w:pPr>
    </w:p>
    <w:p w:rsidR="00284C67" w:rsidRPr="00284C67" w:rsidRDefault="00284C67" w:rsidP="00284C67">
      <w:pPr>
        <w:jc w:val="both"/>
        <w:rPr>
          <w:rFonts w:cs="Arial"/>
          <w:szCs w:val="22"/>
        </w:rPr>
      </w:pPr>
      <w:r w:rsidRPr="00284C67">
        <w:rPr>
          <w:rFonts w:cs="Arial"/>
          <w:szCs w:val="22"/>
        </w:rPr>
        <w:t>The pokies industry continues to profit at the expense of vulnerable members of our communities. People with gambling problems are five times more likely to report having poor health compared to non-problem gamblers, with significantly higher rates of depression and anxiety disorders.</w:t>
      </w:r>
    </w:p>
    <w:p w:rsidR="00284C67" w:rsidRPr="00284C67" w:rsidRDefault="00284C67" w:rsidP="00284C67">
      <w:pPr>
        <w:jc w:val="both"/>
        <w:rPr>
          <w:rFonts w:cs="Arial"/>
          <w:i/>
          <w:szCs w:val="22"/>
        </w:rPr>
      </w:pPr>
    </w:p>
    <w:p w:rsidR="00284C67" w:rsidRPr="00284C67" w:rsidRDefault="00284C67" w:rsidP="00284C67">
      <w:pPr>
        <w:tabs>
          <w:tab w:val="num" w:pos="0"/>
        </w:tabs>
        <w:jc w:val="both"/>
        <w:rPr>
          <w:rFonts w:cs="Arial"/>
          <w:b/>
          <w:szCs w:val="22"/>
        </w:rPr>
      </w:pPr>
      <w:r w:rsidRPr="00284C67">
        <w:rPr>
          <w:rFonts w:cs="Arial"/>
          <w:b/>
          <w:szCs w:val="22"/>
        </w:rPr>
        <w:t>What you can do:</w:t>
      </w:r>
    </w:p>
    <w:p w:rsidR="00284C67" w:rsidRPr="00284C67" w:rsidRDefault="0022181E" w:rsidP="00284C67">
      <w:pPr>
        <w:tabs>
          <w:tab w:val="num" w:pos="0"/>
        </w:tabs>
        <w:jc w:val="both"/>
        <w:rPr>
          <w:rFonts w:cs="Arial"/>
          <w:szCs w:val="22"/>
        </w:rPr>
      </w:pPr>
      <w:r>
        <w:rPr>
          <w:rFonts w:cs="Arial"/>
          <w:szCs w:val="22"/>
        </w:rPr>
        <w:t>With the State election approaching, p</w:t>
      </w:r>
      <w:r w:rsidR="00284C67" w:rsidRPr="00284C67">
        <w:rPr>
          <w:rFonts w:cs="Arial"/>
          <w:szCs w:val="22"/>
        </w:rPr>
        <w:t>lease send polite and respectful letters or e-mails to:</w:t>
      </w:r>
    </w:p>
    <w:tbl>
      <w:tblPr>
        <w:tblW w:w="0" w:type="auto"/>
        <w:tblLook w:val="01E0" w:firstRow="1" w:lastRow="1" w:firstColumn="1" w:lastColumn="1" w:noHBand="0" w:noVBand="0"/>
      </w:tblPr>
      <w:tblGrid>
        <w:gridCol w:w="5070"/>
        <w:gridCol w:w="4677"/>
      </w:tblGrid>
      <w:tr w:rsidR="00284C67" w:rsidRPr="00284C67" w:rsidTr="00B4531D">
        <w:tc>
          <w:tcPr>
            <w:tcW w:w="5070" w:type="dxa"/>
            <w:shd w:val="clear" w:color="auto" w:fill="auto"/>
          </w:tcPr>
          <w:p w:rsidR="00284C67" w:rsidRPr="00DC5EAD" w:rsidRDefault="00284C67" w:rsidP="00284C67">
            <w:pPr>
              <w:tabs>
                <w:tab w:val="num" w:pos="0"/>
              </w:tabs>
              <w:jc w:val="both"/>
              <w:rPr>
                <w:rFonts w:cs="Arial"/>
                <w:szCs w:val="22"/>
              </w:rPr>
            </w:pPr>
            <w:r>
              <w:rPr>
                <w:rFonts w:cs="Arial"/>
                <w:szCs w:val="22"/>
              </w:rPr>
              <w:t xml:space="preserve">The Hon </w:t>
            </w:r>
            <w:r w:rsidRPr="003F04DA">
              <w:rPr>
                <w:rFonts w:cs="Arial"/>
                <w:szCs w:val="22"/>
              </w:rPr>
              <w:t xml:space="preserve">Edward </w:t>
            </w:r>
            <w:proofErr w:type="spellStart"/>
            <w:r w:rsidRPr="003F04DA">
              <w:rPr>
                <w:rFonts w:cs="Arial"/>
                <w:szCs w:val="22"/>
              </w:rPr>
              <w:t>O'Donohue</w:t>
            </w:r>
            <w:proofErr w:type="spellEnd"/>
          </w:p>
          <w:p w:rsidR="00284C67" w:rsidRPr="00DC5EAD" w:rsidRDefault="00284C67" w:rsidP="00284C67">
            <w:pPr>
              <w:pStyle w:val="PlainText"/>
              <w:spacing w:before="0" w:beforeAutospacing="0" w:after="0" w:afterAutospacing="0"/>
              <w:jc w:val="both"/>
              <w:rPr>
                <w:rFonts w:ascii="Arial" w:hAnsi="Arial" w:cs="Arial"/>
                <w:bCs/>
                <w:sz w:val="22"/>
                <w:szCs w:val="22"/>
              </w:rPr>
            </w:pPr>
            <w:r w:rsidRPr="00DC5EAD">
              <w:rPr>
                <w:rFonts w:ascii="Arial" w:hAnsi="Arial" w:cs="Arial"/>
                <w:bCs/>
                <w:sz w:val="22"/>
                <w:szCs w:val="22"/>
              </w:rPr>
              <w:t xml:space="preserve">Minister for </w:t>
            </w:r>
            <w:r>
              <w:rPr>
                <w:rFonts w:ascii="Arial" w:hAnsi="Arial" w:cs="Arial"/>
                <w:bCs/>
                <w:sz w:val="22"/>
                <w:szCs w:val="22"/>
              </w:rPr>
              <w:t xml:space="preserve">Liquor and </w:t>
            </w:r>
            <w:r w:rsidRPr="00DC5EAD">
              <w:rPr>
                <w:rFonts w:ascii="Arial" w:hAnsi="Arial" w:cs="Arial"/>
                <w:bCs/>
                <w:sz w:val="22"/>
                <w:szCs w:val="22"/>
              </w:rPr>
              <w:t>Gaming</w:t>
            </w:r>
            <w:r>
              <w:rPr>
                <w:rFonts w:ascii="Arial" w:hAnsi="Arial" w:cs="Arial"/>
                <w:bCs/>
                <w:sz w:val="22"/>
                <w:szCs w:val="22"/>
              </w:rPr>
              <w:t xml:space="preserve"> Regulation</w:t>
            </w:r>
          </w:p>
          <w:p w:rsidR="00284C67" w:rsidRPr="00DC5EAD" w:rsidRDefault="00284C67" w:rsidP="00284C67">
            <w:pPr>
              <w:rPr>
                <w:rFonts w:cs="Arial"/>
                <w:szCs w:val="22"/>
              </w:rPr>
            </w:pPr>
            <w:r>
              <w:rPr>
                <w:rFonts w:cs="Arial"/>
                <w:szCs w:val="22"/>
              </w:rPr>
              <w:t>Level 26, 121 Exhibition Street</w:t>
            </w:r>
          </w:p>
          <w:p w:rsidR="00284C67" w:rsidRPr="00DC5EAD" w:rsidRDefault="00284C67" w:rsidP="00284C67">
            <w:pPr>
              <w:rPr>
                <w:rFonts w:cs="Arial"/>
                <w:szCs w:val="22"/>
              </w:rPr>
            </w:pPr>
            <w:r w:rsidRPr="00DC5EAD">
              <w:rPr>
                <w:rFonts w:cs="Arial"/>
                <w:szCs w:val="22"/>
              </w:rPr>
              <w:t>Melbourne, Victoria, 3000</w:t>
            </w:r>
          </w:p>
          <w:p w:rsidR="00284C67" w:rsidRPr="00DC5EAD" w:rsidRDefault="00B4531D" w:rsidP="00284C67">
            <w:pPr>
              <w:pStyle w:val="PlainText"/>
              <w:spacing w:before="0" w:beforeAutospacing="0" w:after="0" w:afterAutospacing="0"/>
              <w:jc w:val="both"/>
              <w:rPr>
                <w:rFonts w:ascii="Arial" w:hAnsi="Arial" w:cs="Arial"/>
                <w:bCs/>
                <w:sz w:val="22"/>
                <w:szCs w:val="22"/>
                <w:lang w:val="fr-FR"/>
              </w:rPr>
            </w:pPr>
            <w:r>
              <w:rPr>
                <w:rFonts w:ascii="Arial" w:hAnsi="Arial" w:cs="Arial"/>
                <w:bCs/>
                <w:sz w:val="22"/>
                <w:szCs w:val="22"/>
                <w:lang w:val="fr-FR"/>
              </w:rPr>
              <w:t xml:space="preserve">E-mail: </w:t>
            </w:r>
            <w:proofErr w:type="spellStart"/>
            <w:r w:rsidR="00284C67" w:rsidRPr="003F04DA">
              <w:rPr>
                <w:rFonts w:ascii="Arial" w:hAnsi="Arial" w:cs="Arial"/>
                <w:bCs/>
                <w:sz w:val="22"/>
                <w:szCs w:val="22"/>
                <w:lang w:val="fr-FR"/>
              </w:rPr>
              <w:t>edward.o'donohue@parliament.vic.gov.au</w:t>
            </w:r>
            <w:proofErr w:type="spellEnd"/>
          </w:p>
          <w:p w:rsidR="00284C67" w:rsidRPr="00DC5EAD" w:rsidRDefault="00284C67" w:rsidP="00284C67">
            <w:pPr>
              <w:tabs>
                <w:tab w:val="num" w:pos="0"/>
              </w:tabs>
              <w:jc w:val="both"/>
              <w:rPr>
                <w:rFonts w:cs="Arial"/>
                <w:bCs/>
                <w:szCs w:val="22"/>
              </w:rPr>
            </w:pPr>
            <w:r w:rsidRPr="00DC5EAD">
              <w:rPr>
                <w:rFonts w:cs="Arial"/>
                <w:bCs/>
                <w:szCs w:val="22"/>
              </w:rPr>
              <w:t>Salutation: Dear Minister</w:t>
            </w:r>
          </w:p>
          <w:p w:rsidR="00284C67" w:rsidRPr="00284C67" w:rsidRDefault="00284C67" w:rsidP="00284C67">
            <w:pPr>
              <w:tabs>
                <w:tab w:val="num" w:pos="0"/>
              </w:tabs>
              <w:jc w:val="both"/>
              <w:rPr>
                <w:rFonts w:cs="Arial"/>
                <w:szCs w:val="22"/>
              </w:rPr>
            </w:pPr>
          </w:p>
        </w:tc>
        <w:tc>
          <w:tcPr>
            <w:tcW w:w="4677" w:type="dxa"/>
            <w:shd w:val="clear" w:color="auto" w:fill="auto"/>
          </w:tcPr>
          <w:p w:rsidR="00284C67" w:rsidRPr="00284C67" w:rsidRDefault="00284C67" w:rsidP="00284C67">
            <w:pPr>
              <w:tabs>
                <w:tab w:val="num" w:pos="0"/>
              </w:tabs>
              <w:jc w:val="both"/>
              <w:rPr>
                <w:rFonts w:cs="Arial"/>
                <w:szCs w:val="22"/>
              </w:rPr>
            </w:pPr>
            <w:r w:rsidRPr="00284C67">
              <w:rPr>
                <w:rFonts w:cs="Arial"/>
                <w:szCs w:val="22"/>
              </w:rPr>
              <w:t xml:space="preserve">The Hon Martin </w:t>
            </w:r>
            <w:proofErr w:type="spellStart"/>
            <w:r w:rsidRPr="00284C67">
              <w:rPr>
                <w:rFonts w:cs="Arial"/>
                <w:szCs w:val="22"/>
              </w:rPr>
              <w:t>Pakula</w:t>
            </w:r>
            <w:proofErr w:type="spellEnd"/>
          </w:p>
          <w:p w:rsidR="00284C67" w:rsidRPr="00284C67" w:rsidRDefault="00284C67" w:rsidP="00284C67">
            <w:pPr>
              <w:tabs>
                <w:tab w:val="num" w:pos="0"/>
              </w:tabs>
              <w:jc w:val="both"/>
              <w:rPr>
                <w:rFonts w:cs="Arial"/>
                <w:szCs w:val="22"/>
              </w:rPr>
            </w:pPr>
            <w:r w:rsidRPr="00284C67">
              <w:rPr>
                <w:rFonts w:cs="Arial"/>
                <w:szCs w:val="22"/>
              </w:rPr>
              <w:t>Shadow Minister for Gaming and Racing</w:t>
            </w:r>
          </w:p>
          <w:p w:rsidR="00284C67" w:rsidRDefault="00284C67" w:rsidP="00284C67">
            <w:pPr>
              <w:tabs>
                <w:tab w:val="num" w:pos="0"/>
              </w:tabs>
              <w:jc w:val="both"/>
              <w:rPr>
                <w:rFonts w:cs="Arial"/>
                <w:szCs w:val="22"/>
              </w:rPr>
            </w:pPr>
            <w:r w:rsidRPr="00284C67">
              <w:rPr>
                <w:rFonts w:cs="Arial"/>
                <w:szCs w:val="22"/>
              </w:rPr>
              <w:t>S</w:t>
            </w:r>
            <w:r>
              <w:rPr>
                <w:rFonts w:cs="Arial"/>
                <w:szCs w:val="22"/>
              </w:rPr>
              <w:t>uite 3, 387-389 Springvale Road</w:t>
            </w:r>
          </w:p>
          <w:p w:rsidR="00284C67" w:rsidRDefault="00284C67" w:rsidP="00284C67">
            <w:pPr>
              <w:tabs>
                <w:tab w:val="num" w:pos="0"/>
              </w:tabs>
              <w:jc w:val="both"/>
              <w:rPr>
                <w:rFonts w:cs="Arial"/>
                <w:szCs w:val="22"/>
              </w:rPr>
            </w:pPr>
            <w:r>
              <w:rPr>
                <w:rFonts w:cs="Arial"/>
                <w:szCs w:val="22"/>
              </w:rPr>
              <w:t>Springvale, Victoria,</w:t>
            </w:r>
            <w:r w:rsidRPr="00284C67">
              <w:rPr>
                <w:rFonts w:cs="Arial"/>
                <w:szCs w:val="22"/>
              </w:rPr>
              <w:t xml:space="preserve"> 3171</w:t>
            </w:r>
          </w:p>
          <w:p w:rsidR="00284C67" w:rsidRPr="00284C67" w:rsidRDefault="00284C67" w:rsidP="00284C67">
            <w:pPr>
              <w:tabs>
                <w:tab w:val="num" w:pos="0"/>
              </w:tabs>
              <w:jc w:val="both"/>
              <w:rPr>
                <w:rFonts w:cs="Arial"/>
                <w:szCs w:val="22"/>
              </w:rPr>
            </w:pPr>
            <w:r w:rsidRPr="00284C67">
              <w:rPr>
                <w:rFonts w:cs="Arial"/>
                <w:szCs w:val="22"/>
              </w:rPr>
              <w:t xml:space="preserve">E-mail: </w:t>
            </w:r>
            <w:r w:rsidRPr="00B4531D">
              <w:rPr>
                <w:rFonts w:cs="Arial"/>
                <w:szCs w:val="22"/>
              </w:rPr>
              <w:t>mar</w:t>
            </w:r>
            <w:r w:rsidR="00B4531D" w:rsidRPr="00B4531D">
              <w:rPr>
                <w:rFonts w:cs="Arial"/>
                <w:szCs w:val="22"/>
              </w:rPr>
              <w:t>tin.pakula@parliament.vic.gov.au</w:t>
            </w:r>
          </w:p>
          <w:p w:rsidR="00284C67" w:rsidRPr="00284C67" w:rsidRDefault="00284C67" w:rsidP="00284C67">
            <w:pPr>
              <w:tabs>
                <w:tab w:val="num" w:pos="0"/>
              </w:tabs>
              <w:jc w:val="both"/>
              <w:rPr>
                <w:rFonts w:cs="Arial"/>
                <w:szCs w:val="22"/>
              </w:rPr>
            </w:pPr>
            <w:r w:rsidRPr="00284C67">
              <w:rPr>
                <w:rFonts w:cs="Arial"/>
                <w:szCs w:val="22"/>
              </w:rPr>
              <w:t xml:space="preserve">Salutation: Dear Mr </w:t>
            </w:r>
            <w:proofErr w:type="spellStart"/>
            <w:r w:rsidRPr="00284C67">
              <w:rPr>
                <w:rFonts w:cs="Arial"/>
                <w:szCs w:val="22"/>
              </w:rPr>
              <w:t>Pakula</w:t>
            </w:r>
            <w:proofErr w:type="spellEnd"/>
          </w:p>
        </w:tc>
      </w:tr>
    </w:tbl>
    <w:p w:rsidR="00284C67" w:rsidRPr="00284C67" w:rsidRDefault="00284C67" w:rsidP="00284C67">
      <w:pPr>
        <w:tabs>
          <w:tab w:val="num" w:pos="0"/>
        </w:tabs>
        <w:jc w:val="both"/>
        <w:rPr>
          <w:rFonts w:cs="Arial"/>
          <w:szCs w:val="22"/>
        </w:rPr>
      </w:pPr>
      <w:r w:rsidRPr="00284C67">
        <w:rPr>
          <w:rFonts w:cs="Arial"/>
          <w:szCs w:val="22"/>
        </w:rPr>
        <w:t>Points to make in your letters:</w:t>
      </w:r>
    </w:p>
    <w:p w:rsidR="00284C67" w:rsidRPr="00284C67" w:rsidRDefault="00284C67" w:rsidP="00284C67">
      <w:pPr>
        <w:numPr>
          <w:ilvl w:val="0"/>
          <w:numId w:val="5"/>
        </w:numPr>
        <w:jc w:val="both"/>
        <w:rPr>
          <w:rFonts w:cs="Arial"/>
          <w:szCs w:val="22"/>
        </w:rPr>
      </w:pPr>
      <w:r w:rsidRPr="00284C67">
        <w:rPr>
          <w:rFonts w:cs="Arial"/>
          <w:szCs w:val="22"/>
        </w:rPr>
        <w:t>Express deep concern regarding the harms gambling, especially the pokies, continue to cause in our community, pointing out the last measure of problem gambling in Victoria found around 29,000 adults had gambling problems.</w:t>
      </w:r>
    </w:p>
    <w:p w:rsidR="00284C67" w:rsidRPr="00284C67" w:rsidRDefault="00284C67" w:rsidP="00284C67">
      <w:pPr>
        <w:numPr>
          <w:ilvl w:val="0"/>
          <w:numId w:val="5"/>
        </w:numPr>
        <w:jc w:val="both"/>
        <w:rPr>
          <w:rFonts w:cs="Arial"/>
          <w:szCs w:val="22"/>
        </w:rPr>
      </w:pPr>
      <w:r w:rsidRPr="00284C67">
        <w:rPr>
          <w:rFonts w:cs="Arial"/>
          <w:szCs w:val="22"/>
        </w:rPr>
        <w:t>Ask they commit to supporting the introduction of the following measures to reduce pokies related harm in our communities:</w:t>
      </w:r>
    </w:p>
    <w:p w:rsidR="00284C67" w:rsidRPr="00284C67" w:rsidRDefault="00284C67" w:rsidP="00284C67">
      <w:pPr>
        <w:numPr>
          <w:ilvl w:val="1"/>
          <w:numId w:val="5"/>
        </w:numPr>
        <w:jc w:val="both"/>
        <w:rPr>
          <w:rFonts w:cs="Arial"/>
          <w:szCs w:val="22"/>
        </w:rPr>
      </w:pPr>
      <w:r w:rsidRPr="00284C67">
        <w:rPr>
          <w:rFonts w:cs="Arial"/>
          <w:szCs w:val="22"/>
        </w:rPr>
        <w:t>Introduce a bet limit of $1 per button push on the pokies.</w:t>
      </w:r>
    </w:p>
    <w:p w:rsidR="00284C67" w:rsidRPr="00284C67" w:rsidRDefault="00284C67" w:rsidP="00284C67">
      <w:pPr>
        <w:numPr>
          <w:ilvl w:val="1"/>
          <w:numId w:val="5"/>
        </w:numPr>
        <w:jc w:val="both"/>
        <w:rPr>
          <w:rFonts w:cs="Arial"/>
          <w:szCs w:val="22"/>
        </w:rPr>
      </w:pPr>
      <w:r w:rsidRPr="00284C67">
        <w:rPr>
          <w:rFonts w:cs="Arial"/>
          <w:szCs w:val="22"/>
        </w:rPr>
        <w:t xml:space="preserve">Reducing operating hours for the </w:t>
      </w:r>
      <w:proofErr w:type="spellStart"/>
      <w:r w:rsidRPr="00284C67">
        <w:rPr>
          <w:rFonts w:cs="Arial"/>
          <w:szCs w:val="22"/>
        </w:rPr>
        <w:t>pokie</w:t>
      </w:r>
      <w:proofErr w:type="spellEnd"/>
      <w:r w:rsidRPr="00284C67">
        <w:rPr>
          <w:rFonts w:cs="Arial"/>
          <w:szCs w:val="22"/>
        </w:rPr>
        <w:t xml:space="preserve"> areas in venues to being between 10 am and midnight, noting people with gambling problems are much more likely to be gambling on pokies between midnight and 4 am than those without gambling problems.</w:t>
      </w:r>
    </w:p>
    <w:p w:rsidR="00284C67" w:rsidRPr="00284C67" w:rsidRDefault="00284C67" w:rsidP="00284C67">
      <w:pPr>
        <w:numPr>
          <w:ilvl w:val="1"/>
          <w:numId w:val="5"/>
        </w:numPr>
        <w:jc w:val="both"/>
        <w:rPr>
          <w:rFonts w:cs="Arial"/>
          <w:szCs w:val="22"/>
        </w:rPr>
      </w:pPr>
      <w:r w:rsidRPr="00284C67">
        <w:rPr>
          <w:rFonts w:cs="Arial"/>
          <w:szCs w:val="22"/>
        </w:rPr>
        <w:t xml:space="preserve">Introduce a duty of care for </w:t>
      </w:r>
      <w:proofErr w:type="spellStart"/>
      <w:r w:rsidRPr="00284C67">
        <w:rPr>
          <w:rFonts w:cs="Arial"/>
          <w:szCs w:val="22"/>
        </w:rPr>
        <w:t>pokie</w:t>
      </w:r>
      <w:proofErr w:type="spellEnd"/>
      <w:r w:rsidRPr="00284C67">
        <w:rPr>
          <w:rFonts w:cs="Arial"/>
          <w:szCs w:val="22"/>
        </w:rPr>
        <w:t xml:space="preserve"> venues </w:t>
      </w:r>
      <w:r w:rsidR="0022181E">
        <w:rPr>
          <w:rFonts w:cs="Arial"/>
          <w:szCs w:val="22"/>
        </w:rPr>
        <w:t>for staff to identify people with gambling problems and be required to appropriately intervene as has already been successfully trialled in some venues in Victoria.</w:t>
      </w:r>
    </w:p>
    <w:p w:rsidR="00284C67" w:rsidRPr="00284C67" w:rsidRDefault="00284C67" w:rsidP="00284C67">
      <w:pPr>
        <w:numPr>
          <w:ilvl w:val="1"/>
          <w:numId w:val="5"/>
        </w:numPr>
        <w:jc w:val="both"/>
        <w:rPr>
          <w:rFonts w:cs="Arial"/>
          <w:szCs w:val="22"/>
        </w:rPr>
      </w:pPr>
      <w:r w:rsidRPr="00284C67">
        <w:rPr>
          <w:rFonts w:cs="Arial"/>
          <w:szCs w:val="22"/>
        </w:rPr>
        <w:t xml:space="preserve">Allow local communities to have the final say on if they want </w:t>
      </w:r>
      <w:proofErr w:type="spellStart"/>
      <w:r w:rsidRPr="00284C67">
        <w:rPr>
          <w:rFonts w:cs="Arial"/>
          <w:szCs w:val="22"/>
        </w:rPr>
        <w:t>pokie</w:t>
      </w:r>
      <w:proofErr w:type="spellEnd"/>
      <w:r w:rsidRPr="00284C67">
        <w:rPr>
          <w:rFonts w:cs="Arial"/>
          <w:szCs w:val="22"/>
        </w:rPr>
        <w:t xml:space="preserve"> venues in their communities or not</w:t>
      </w:r>
      <w:r w:rsidR="0022181E">
        <w:rPr>
          <w:rFonts w:cs="Arial"/>
          <w:szCs w:val="22"/>
        </w:rPr>
        <w:t>, as is already the case in New Zealand</w:t>
      </w:r>
      <w:r w:rsidRPr="00284C67">
        <w:rPr>
          <w:rFonts w:cs="Arial"/>
          <w:szCs w:val="22"/>
        </w:rPr>
        <w:t>.</w:t>
      </w:r>
    </w:p>
    <w:p w:rsidR="00284C67" w:rsidRPr="00284C67" w:rsidRDefault="00284C67" w:rsidP="00284C67">
      <w:pPr>
        <w:numPr>
          <w:ilvl w:val="0"/>
          <w:numId w:val="5"/>
        </w:numPr>
        <w:jc w:val="both"/>
        <w:rPr>
          <w:rFonts w:cs="Arial"/>
          <w:szCs w:val="22"/>
        </w:rPr>
      </w:pPr>
      <w:r w:rsidRPr="00284C67">
        <w:rPr>
          <w:rFonts w:cs="Arial"/>
          <w:szCs w:val="22"/>
        </w:rPr>
        <w:t xml:space="preserve">Finally, ask that </w:t>
      </w:r>
      <w:r w:rsidR="0022181E">
        <w:rPr>
          <w:rFonts w:cs="Arial"/>
          <w:szCs w:val="22"/>
        </w:rPr>
        <w:t xml:space="preserve">they do not give highly profitable </w:t>
      </w:r>
      <w:proofErr w:type="spellStart"/>
      <w:r w:rsidR="0022181E">
        <w:rPr>
          <w:rFonts w:cs="Arial"/>
          <w:szCs w:val="22"/>
        </w:rPr>
        <w:t>pokie</w:t>
      </w:r>
      <w:proofErr w:type="spellEnd"/>
      <w:r w:rsidR="0022181E">
        <w:rPr>
          <w:rFonts w:cs="Arial"/>
          <w:szCs w:val="22"/>
        </w:rPr>
        <w:t xml:space="preserve"> venues licence extensions from the current 10 year licences. Express concern that the current government is thinking about giving </w:t>
      </w:r>
      <w:proofErr w:type="spellStart"/>
      <w:r w:rsidR="0022181E">
        <w:rPr>
          <w:rFonts w:cs="Arial"/>
          <w:szCs w:val="22"/>
        </w:rPr>
        <w:t>pokie</w:t>
      </w:r>
      <w:proofErr w:type="spellEnd"/>
      <w:r w:rsidR="0022181E">
        <w:rPr>
          <w:rFonts w:cs="Arial"/>
          <w:szCs w:val="22"/>
        </w:rPr>
        <w:t xml:space="preserve"> venues that are already making a killing up to a 25 year extension on their licences.  </w:t>
      </w:r>
    </w:p>
    <w:p w:rsidR="00284C67" w:rsidRDefault="00284C67" w:rsidP="00284C67">
      <w:pPr>
        <w:jc w:val="both"/>
        <w:rPr>
          <w:b/>
          <w:sz w:val="28"/>
          <w:szCs w:val="28"/>
        </w:rPr>
      </w:pPr>
      <w:r>
        <w:rPr>
          <w:b/>
          <w:sz w:val="28"/>
          <w:szCs w:val="28"/>
        </w:rPr>
        <w:br w:type="page"/>
      </w:r>
    </w:p>
    <w:p w:rsidR="009F5A27" w:rsidRPr="009F5A27" w:rsidRDefault="000F7B81" w:rsidP="009F5A27">
      <w:pPr>
        <w:rPr>
          <w:b/>
          <w:sz w:val="28"/>
          <w:szCs w:val="28"/>
        </w:rPr>
      </w:pPr>
      <w:r>
        <w:rPr>
          <w:b/>
          <w:sz w:val="28"/>
          <w:szCs w:val="28"/>
        </w:rPr>
        <w:lastRenderedPageBreak/>
        <w:t>Mocking Christ for Profit</w:t>
      </w:r>
    </w:p>
    <w:p w:rsidR="000F7B81" w:rsidRDefault="000F7B81" w:rsidP="009F5A27">
      <w:pPr>
        <w:jc w:val="both"/>
        <w:rPr>
          <w:szCs w:val="22"/>
        </w:rPr>
      </w:pPr>
      <w:proofErr w:type="spellStart"/>
      <w:r>
        <w:rPr>
          <w:szCs w:val="22"/>
        </w:rPr>
        <w:t>SportsBet</w:t>
      </w:r>
      <w:proofErr w:type="spellEnd"/>
      <w:r>
        <w:rPr>
          <w:szCs w:val="22"/>
        </w:rPr>
        <w:t xml:space="preserve"> is an online gambling company that has successfully pursued a strategy of offending parts of the community for free publicity</w:t>
      </w:r>
      <w:r w:rsidR="00F247B2">
        <w:rPr>
          <w:szCs w:val="22"/>
        </w:rPr>
        <w:t xml:space="preserve"> to increase their profits</w:t>
      </w:r>
      <w:r>
        <w:rPr>
          <w:szCs w:val="22"/>
        </w:rPr>
        <w:t xml:space="preserve">. </w:t>
      </w:r>
    </w:p>
    <w:p w:rsidR="000F7B81" w:rsidRDefault="000F7B81" w:rsidP="009F5A27">
      <w:pPr>
        <w:jc w:val="both"/>
        <w:rPr>
          <w:szCs w:val="22"/>
        </w:rPr>
      </w:pPr>
    </w:p>
    <w:p w:rsidR="000F7B81" w:rsidRDefault="000F7B81" w:rsidP="009F5A27">
      <w:pPr>
        <w:jc w:val="both"/>
        <w:rPr>
          <w:szCs w:val="22"/>
        </w:rPr>
      </w:pPr>
      <w:r>
        <w:rPr>
          <w:szCs w:val="22"/>
        </w:rPr>
        <w:t xml:space="preserve">Their </w:t>
      </w:r>
      <w:r w:rsidR="000600B1">
        <w:rPr>
          <w:szCs w:val="22"/>
        </w:rPr>
        <w:t>first effort in Victorian involved creating a giant image of a kangaroo having sex with a lion in a paddock near Tullamarine airport with the slogan “</w:t>
      </w:r>
      <w:proofErr w:type="spellStart"/>
      <w:r w:rsidR="000600B1">
        <w:rPr>
          <w:szCs w:val="22"/>
        </w:rPr>
        <w:t>RootingforOz</w:t>
      </w:r>
      <w:proofErr w:type="spellEnd"/>
      <w:r w:rsidR="000600B1">
        <w:rPr>
          <w:szCs w:val="22"/>
        </w:rPr>
        <w:t xml:space="preserve">”. With the offence it caused, it gained them widespread free media coverage worth hundreds of thousands of dollars to help them promote </w:t>
      </w:r>
      <w:proofErr w:type="spellStart"/>
      <w:r w:rsidR="00F247B2">
        <w:rPr>
          <w:szCs w:val="22"/>
        </w:rPr>
        <w:t>bettiong</w:t>
      </w:r>
      <w:proofErr w:type="spellEnd"/>
      <w:r w:rsidR="000600B1">
        <w:rPr>
          <w:szCs w:val="22"/>
        </w:rPr>
        <w:t xml:space="preserve"> on a rugby game between Australian and England.</w:t>
      </w:r>
    </w:p>
    <w:p w:rsidR="000600B1" w:rsidRDefault="000600B1" w:rsidP="009F5A27">
      <w:pPr>
        <w:jc w:val="both"/>
        <w:rPr>
          <w:szCs w:val="22"/>
        </w:rPr>
      </w:pPr>
    </w:p>
    <w:p w:rsidR="000600B1" w:rsidRDefault="000600B1" w:rsidP="009F5A27">
      <w:pPr>
        <w:jc w:val="both"/>
        <w:rPr>
          <w:szCs w:val="22"/>
        </w:rPr>
      </w:pPr>
      <w:r>
        <w:rPr>
          <w:szCs w:val="22"/>
        </w:rPr>
        <w:t xml:space="preserve">Having had such great success with this marketing strategy, on 10 June </w:t>
      </w:r>
      <w:r w:rsidR="00F247B2">
        <w:rPr>
          <w:szCs w:val="22"/>
        </w:rPr>
        <w:t xml:space="preserve">2014 </w:t>
      </w:r>
      <w:r>
        <w:rPr>
          <w:szCs w:val="22"/>
        </w:rPr>
        <w:t xml:space="preserve">they decided it was time to repeat the trick by offending parts of the Christian community. They launched a giant hot air balloon in the shape of the statue of Christ the Redeemer wearing a shirt with the twitter hash tag </w:t>
      </w:r>
      <w:r w:rsidR="00990CAA">
        <w:rPr>
          <w:szCs w:val="22"/>
        </w:rPr>
        <w:t>“</w:t>
      </w:r>
      <w:r>
        <w:rPr>
          <w:szCs w:val="22"/>
        </w:rPr>
        <w:t>#</w:t>
      </w:r>
      <w:proofErr w:type="spellStart"/>
      <w:r>
        <w:rPr>
          <w:szCs w:val="22"/>
        </w:rPr>
        <w:t>Keepthefaith</w:t>
      </w:r>
      <w:proofErr w:type="spellEnd"/>
      <w:r w:rsidR="00990CAA">
        <w:rPr>
          <w:szCs w:val="22"/>
        </w:rPr>
        <w:t xml:space="preserve">”, promoting betting on the Socceroos in Brazil. The hot air balloon was backed up by advertising online, including one advertisement of a smiling Jesus giving both thumbs up to endorse betting with </w:t>
      </w:r>
      <w:proofErr w:type="spellStart"/>
      <w:r w:rsidR="00990CAA">
        <w:rPr>
          <w:szCs w:val="22"/>
        </w:rPr>
        <w:t>SportsBet</w:t>
      </w:r>
      <w:proofErr w:type="spellEnd"/>
      <w:r w:rsidR="00990CAA">
        <w:rPr>
          <w:szCs w:val="22"/>
        </w:rPr>
        <w:t>.</w:t>
      </w:r>
    </w:p>
    <w:p w:rsidR="00990CAA" w:rsidRDefault="00990CAA" w:rsidP="009F5A27">
      <w:pPr>
        <w:jc w:val="both"/>
        <w:rPr>
          <w:szCs w:val="22"/>
        </w:rPr>
      </w:pPr>
    </w:p>
    <w:p w:rsidR="00990CAA" w:rsidRDefault="00990CAA" w:rsidP="009F5A27">
      <w:pPr>
        <w:jc w:val="both"/>
        <w:rPr>
          <w:szCs w:val="22"/>
        </w:rPr>
      </w:pPr>
      <w:r>
        <w:rPr>
          <w:szCs w:val="22"/>
        </w:rPr>
        <w:t xml:space="preserve">The marketing strategy was criticised by church leaders in the media for its offensive nature, which achieved what </w:t>
      </w:r>
      <w:proofErr w:type="spellStart"/>
      <w:r>
        <w:rPr>
          <w:szCs w:val="22"/>
        </w:rPr>
        <w:t>SportsB</w:t>
      </w:r>
      <w:r w:rsidR="00F247B2">
        <w:rPr>
          <w:szCs w:val="22"/>
        </w:rPr>
        <w:t>et</w:t>
      </w:r>
      <w:proofErr w:type="spellEnd"/>
      <w:r w:rsidR="00F247B2">
        <w:rPr>
          <w:szCs w:val="22"/>
        </w:rPr>
        <w:t xml:space="preserve"> was aiming for. The controversy gained them</w:t>
      </w:r>
      <w:r>
        <w:rPr>
          <w:szCs w:val="22"/>
        </w:rPr>
        <w:t xml:space="preserve"> widespread free media to promote their betting service, getting coverage in newspapers, on television and online.</w:t>
      </w:r>
    </w:p>
    <w:p w:rsidR="000F7B81" w:rsidRDefault="000F7B81" w:rsidP="009F5A27">
      <w:pPr>
        <w:jc w:val="both"/>
        <w:rPr>
          <w:szCs w:val="22"/>
        </w:rPr>
      </w:pPr>
    </w:p>
    <w:p w:rsidR="009F5A27" w:rsidRDefault="00990CAA" w:rsidP="00E42C37">
      <w:pPr>
        <w:jc w:val="both"/>
      </w:pPr>
      <w:r>
        <w:rPr>
          <w:szCs w:val="22"/>
        </w:rPr>
        <w:t xml:space="preserve">Offensive advertising is banned by </w:t>
      </w:r>
      <w:r w:rsidR="009F5A27" w:rsidRPr="009F5A27">
        <w:t>Section 4.7.8 of the</w:t>
      </w:r>
      <w:r>
        <w:t xml:space="preserve"> Victorian</w:t>
      </w:r>
      <w:r w:rsidR="009F5A27" w:rsidRPr="009F5A27">
        <w:t xml:space="preserve"> </w:t>
      </w:r>
      <w:r w:rsidR="009F5A27" w:rsidRPr="009F5A27">
        <w:rPr>
          <w:i/>
        </w:rPr>
        <w:t>Gambling Regulation Act 2003</w:t>
      </w:r>
      <w:r>
        <w:t xml:space="preserve">. However, the maximum penalty for breaching this part of the law is less than $3,000. Such a fine is a joke compared to the hundreds of thousands of dollars in free media advertising </w:t>
      </w:r>
      <w:proofErr w:type="spellStart"/>
      <w:r>
        <w:t>SportsBet</w:t>
      </w:r>
      <w:proofErr w:type="spellEnd"/>
      <w:r>
        <w:t xml:space="preserve"> achieved with its strategy</w:t>
      </w:r>
      <w:r w:rsidR="00F247B2">
        <w:t xml:space="preserve">. </w:t>
      </w:r>
      <w:r w:rsidR="009F5A27" w:rsidRPr="009F5A27">
        <w:t>Without causing offense the marketing strategy would have failed.</w:t>
      </w:r>
    </w:p>
    <w:p w:rsidR="00E42C37" w:rsidRDefault="00E42C37" w:rsidP="00E42C37">
      <w:pPr>
        <w:jc w:val="both"/>
      </w:pPr>
    </w:p>
    <w:p w:rsidR="009F5A27" w:rsidRDefault="00CE4BA7" w:rsidP="00CE4BA7">
      <w:pPr>
        <w:jc w:val="both"/>
      </w:pPr>
      <w:proofErr w:type="spellStart"/>
      <w:r>
        <w:t>SportsBet</w:t>
      </w:r>
      <w:proofErr w:type="spellEnd"/>
      <w:r>
        <w:t xml:space="preserve"> has already been prosecuted for multiple coun</w:t>
      </w:r>
      <w:r w:rsidR="00F247B2">
        <w:t>ts of breaking Victorian law by</w:t>
      </w:r>
      <w:r>
        <w:t xml:space="preserve"> offering inducements for people to gamble. For this unlawful activity </w:t>
      </w:r>
      <w:proofErr w:type="spellStart"/>
      <w:r>
        <w:t>SportsBet</w:t>
      </w:r>
      <w:proofErr w:type="spellEnd"/>
      <w:r>
        <w:t xml:space="preserve"> incurred a laughable fine of $1,500.</w:t>
      </w:r>
    </w:p>
    <w:p w:rsidR="00CE4BA7" w:rsidRDefault="00CE4BA7" w:rsidP="00CE4BA7">
      <w:pPr>
        <w:jc w:val="both"/>
      </w:pPr>
    </w:p>
    <w:p w:rsidR="00CE4BA7" w:rsidRDefault="00CE4BA7" w:rsidP="00CE4BA7">
      <w:pPr>
        <w:jc w:val="both"/>
      </w:pPr>
      <w:r>
        <w:t xml:space="preserve">This is not an innocent activity. People who gamble online are more likely to have gambling problems than other gamblers. </w:t>
      </w:r>
      <w:proofErr w:type="gramStart"/>
      <w:r>
        <w:t>Sports betting is</w:t>
      </w:r>
      <w:proofErr w:type="gramEnd"/>
      <w:r>
        <w:t xml:space="preserve"> one of the main forms of gambling online. </w:t>
      </w:r>
      <w:r w:rsidR="00A97D27">
        <w:t xml:space="preserve">Recent research has found that marketing by online gambling providers, like </w:t>
      </w:r>
      <w:proofErr w:type="spellStart"/>
      <w:r w:rsidR="00A97D27">
        <w:t>SportsBet</w:t>
      </w:r>
      <w:proofErr w:type="spellEnd"/>
      <w:r w:rsidR="00A97D27">
        <w:t>, increases the number of people taking up gambling and how much they lose.</w:t>
      </w:r>
    </w:p>
    <w:p w:rsidR="00A97D27" w:rsidRDefault="00A97D27" w:rsidP="00CE4BA7">
      <w:pPr>
        <w:jc w:val="both"/>
      </w:pPr>
    </w:p>
    <w:p w:rsidR="00A97D27" w:rsidRDefault="00A97D27" w:rsidP="00CE4BA7">
      <w:pPr>
        <w:jc w:val="both"/>
      </w:pPr>
      <w:r>
        <w:t xml:space="preserve">The only way we can deter </w:t>
      </w:r>
      <w:proofErr w:type="spellStart"/>
      <w:r>
        <w:t>SportsBet</w:t>
      </w:r>
      <w:proofErr w:type="spellEnd"/>
      <w:r>
        <w:t xml:space="preserve"> from further offensive and unethical marketing strategies is to try and get a conviction recorded against them. Having a conviction recorded (rather th</w:t>
      </w:r>
      <w:r w:rsidR="00C91D02">
        <w:t>an just a laughable fine) will</w:t>
      </w:r>
      <w:r>
        <w:t xml:space="preserve"> help stop </w:t>
      </w:r>
      <w:proofErr w:type="spellStart"/>
      <w:r>
        <w:t>SportsBet</w:t>
      </w:r>
      <w:proofErr w:type="spellEnd"/>
      <w:r>
        <w:t xml:space="preserve"> from getting gambling operating licences elsewhere.</w:t>
      </w:r>
    </w:p>
    <w:p w:rsidR="00A97D27" w:rsidRDefault="00A97D27" w:rsidP="00CE4BA7">
      <w:pPr>
        <w:jc w:val="both"/>
      </w:pPr>
    </w:p>
    <w:p w:rsidR="00A97D27" w:rsidRDefault="00A97D27" w:rsidP="00CE4BA7">
      <w:pPr>
        <w:jc w:val="both"/>
      </w:pPr>
      <w:r>
        <w:t>So if you saw the hot air balloon of Christ the Redeemer or other marketing material associated with it and were genuinely offended, please send a complaint to:</w:t>
      </w:r>
    </w:p>
    <w:p w:rsidR="00F247B2" w:rsidRDefault="00F247B2" w:rsidP="00CE4BA7">
      <w:pPr>
        <w:jc w:val="both"/>
      </w:pPr>
    </w:p>
    <w:p w:rsidR="00A97D27" w:rsidRDefault="00C91D02" w:rsidP="00C91D02">
      <w:pPr>
        <w:ind w:left="720"/>
        <w:jc w:val="both"/>
      </w:pPr>
      <w:r>
        <w:t>Victorian Commission for Gambling and Liquor Regulation</w:t>
      </w:r>
    </w:p>
    <w:p w:rsidR="00C91D02" w:rsidRDefault="00C91D02" w:rsidP="00C91D02">
      <w:pPr>
        <w:ind w:left="720"/>
        <w:jc w:val="both"/>
      </w:pPr>
      <w:r>
        <w:t xml:space="preserve">GPO Box 1988 </w:t>
      </w:r>
    </w:p>
    <w:p w:rsidR="00C91D02" w:rsidRDefault="00C91D02" w:rsidP="00C91D02">
      <w:pPr>
        <w:ind w:left="720"/>
        <w:jc w:val="both"/>
      </w:pPr>
      <w:r>
        <w:t>Melbourne, Victoria, 3001</w:t>
      </w:r>
    </w:p>
    <w:p w:rsidR="00C91D02" w:rsidRDefault="00C91D02" w:rsidP="00C91D02">
      <w:pPr>
        <w:ind w:left="720"/>
        <w:jc w:val="both"/>
      </w:pPr>
    </w:p>
    <w:p w:rsidR="00C91D02" w:rsidRDefault="00C91D02" w:rsidP="00C91D02">
      <w:pPr>
        <w:jc w:val="both"/>
      </w:pPr>
      <w:r>
        <w:t xml:space="preserve">Your complaint must state what you saw and why you were offended. Point out that offensive advertising is unlawful under </w:t>
      </w:r>
      <w:r w:rsidRPr="009F5A27">
        <w:t>Section 4.7.8 of the</w:t>
      </w:r>
      <w:r>
        <w:t xml:space="preserve"> Victorian</w:t>
      </w:r>
      <w:r w:rsidRPr="009F5A27">
        <w:t xml:space="preserve"> </w:t>
      </w:r>
      <w:r w:rsidRPr="009F5A27">
        <w:rPr>
          <w:i/>
        </w:rPr>
        <w:t>Gambling Regulation Act 2003</w:t>
      </w:r>
      <w:r>
        <w:t>. You must include your name and address, the date you are making the complaint and you need to sign the complaint.</w:t>
      </w:r>
    </w:p>
    <w:sectPr w:rsidR="00C91D02" w:rsidSect="00284C6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67" w:rsidRDefault="00410D67" w:rsidP="00284C67">
      <w:r>
        <w:separator/>
      </w:r>
    </w:p>
  </w:endnote>
  <w:endnote w:type="continuationSeparator" w:id="0">
    <w:p w:rsidR="00410D67" w:rsidRDefault="00410D67" w:rsidP="0028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67" w:rsidRDefault="00410D67" w:rsidP="00284C67">
      <w:r>
        <w:separator/>
      </w:r>
    </w:p>
  </w:footnote>
  <w:footnote w:type="continuationSeparator" w:id="0">
    <w:p w:rsidR="00410D67" w:rsidRDefault="00410D67" w:rsidP="00284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A6A"/>
    <w:multiLevelType w:val="hybridMultilevel"/>
    <w:tmpl w:val="2B547E5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3621ED"/>
    <w:multiLevelType w:val="hybridMultilevel"/>
    <w:tmpl w:val="E4C62EA2"/>
    <w:lvl w:ilvl="0" w:tplc="989ADA50">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35B04F02"/>
    <w:multiLevelType w:val="hybridMultilevel"/>
    <w:tmpl w:val="8AD46F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4D80387"/>
    <w:multiLevelType w:val="hybridMultilevel"/>
    <w:tmpl w:val="60ECA5E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66021B33"/>
    <w:multiLevelType w:val="hybridMultilevel"/>
    <w:tmpl w:val="FC6EBEAE"/>
    <w:lvl w:ilvl="0" w:tplc="B1BC2FAA">
      <w:start w:val="2"/>
      <w:numFmt w:val="bullet"/>
      <w:lvlText w:val="-"/>
      <w:lvlJc w:val="left"/>
      <w:pPr>
        <w:ind w:left="363" w:hanging="360"/>
      </w:pPr>
      <w:rPr>
        <w:rFonts w:ascii="Arial" w:eastAsia="Times New Roman" w:hAnsi="Arial" w:cs="Aria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27"/>
    <w:rsid w:val="000600B1"/>
    <w:rsid w:val="000F7B81"/>
    <w:rsid w:val="0018087E"/>
    <w:rsid w:val="002011E5"/>
    <w:rsid w:val="0022181E"/>
    <w:rsid w:val="00284C67"/>
    <w:rsid w:val="002C5940"/>
    <w:rsid w:val="00410D67"/>
    <w:rsid w:val="0059466B"/>
    <w:rsid w:val="006A073D"/>
    <w:rsid w:val="006C673B"/>
    <w:rsid w:val="00907BBF"/>
    <w:rsid w:val="00990CAA"/>
    <w:rsid w:val="009F5A27"/>
    <w:rsid w:val="00A91D03"/>
    <w:rsid w:val="00A97D27"/>
    <w:rsid w:val="00B4531D"/>
    <w:rsid w:val="00BC073C"/>
    <w:rsid w:val="00C91D02"/>
    <w:rsid w:val="00CC3159"/>
    <w:rsid w:val="00CE4BA7"/>
    <w:rsid w:val="00D44AD8"/>
    <w:rsid w:val="00E42C37"/>
    <w:rsid w:val="00F24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D8"/>
    <w:rPr>
      <w:rFonts w:ascii="Arial" w:hAnsi="Arial"/>
      <w:sz w:val="22"/>
      <w:szCs w:val="24"/>
      <w:lang w:eastAsia="en-AU"/>
    </w:rPr>
  </w:style>
  <w:style w:type="paragraph" w:styleId="Heading1">
    <w:name w:val="heading 1"/>
    <w:basedOn w:val="Normal"/>
    <w:next w:val="Normal"/>
    <w:link w:val="Heading1Char"/>
    <w:qFormat/>
    <w:rsid w:val="006A073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073D"/>
    <w:rPr>
      <w:rFonts w:ascii="Cambria" w:hAnsi="Cambria"/>
      <w:b/>
      <w:bCs/>
      <w:kern w:val="32"/>
      <w:sz w:val="32"/>
      <w:szCs w:val="32"/>
      <w:lang w:val="en-US"/>
    </w:rPr>
  </w:style>
  <w:style w:type="character" w:styleId="Emphasis">
    <w:name w:val="Emphasis"/>
    <w:uiPriority w:val="20"/>
    <w:qFormat/>
    <w:rsid w:val="006A073D"/>
    <w:rPr>
      <w:i/>
      <w:iCs/>
    </w:rPr>
  </w:style>
  <w:style w:type="paragraph" w:styleId="ListParagraph">
    <w:name w:val="List Paragraph"/>
    <w:basedOn w:val="Normal"/>
    <w:uiPriority w:val="34"/>
    <w:qFormat/>
    <w:rsid w:val="006A073D"/>
    <w:pPr>
      <w:spacing w:after="200" w:line="276" w:lineRule="auto"/>
      <w:ind w:left="720"/>
      <w:contextualSpacing/>
    </w:pPr>
    <w:rPr>
      <w:rFonts w:ascii="Calibri" w:eastAsia="Calibri" w:hAnsi="Calibri"/>
      <w:szCs w:val="22"/>
    </w:rPr>
  </w:style>
  <w:style w:type="character" w:styleId="Hyperlink">
    <w:name w:val="Hyperlink"/>
    <w:basedOn w:val="DefaultParagraphFont"/>
    <w:uiPriority w:val="99"/>
    <w:unhideWhenUsed/>
    <w:rsid w:val="009F5A27"/>
    <w:rPr>
      <w:color w:val="0000FF" w:themeColor="hyperlink"/>
      <w:u w:val="single"/>
    </w:rPr>
  </w:style>
  <w:style w:type="character" w:styleId="FollowedHyperlink">
    <w:name w:val="FollowedHyperlink"/>
    <w:basedOn w:val="DefaultParagraphFont"/>
    <w:uiPriority w:val="99"/>
    <w:semiHidden/>
    <w:unhideWhenUsed/>
    <w:rsid w:val="002011E5"/>
    <w:rPr>
      <w:color w:val="800080" w:themeColor="followedHyperlink"/>
      <w:u w:val="single"/>
    </w:rPr>
  </w:style>
  <w:style w:type="paragraph" w:styleId="FootnoteText">
    <w:name w:val="footnote text"/>
    <w:basedOn w:val="Normal"/>
    <w:link w:val="FootnoteTextChar"/>
    <w:semiHidden/>
    <w:rsid w:val="00284C67"/>
    <w:rPr>
      <w:rFonts w:ascii="Times New Roman" w:hAnsi="Times New Roman"/>
      <w:sz w:val="20"/>
      <w:szCs w:val="20"/>
    </w:rPr>
  </w:style>
  <w:style w:type="character" w:customStyle="1" w:styleId="FootnoteTextChar">
    <w:name w:val="Footnote Text Char"/>
    <w:basedOn w:val="DefaultParagraphFont"/>
    <w:link w:val="FootnoteText"/>
    <w:semiHidden/>
    <w:rsid w:val="00284C67"/>
    <w:rPr>
      <w:lang w:eastAsia="en-AU"/>
    </w:rPr>
  </w:style>
  <w:style w:type="character" w:styleId="FootnoteReference">
    <w:name w:val="footnote reference"/>
    <w:semiHidden/>
    <w:rsid w:val="00284C67"/>
    <w:rPr>
      <w:vertAlign w:val="superscript"/>
    </w:rPr>
  </w:style>
  <w:style w:type="paragraph" w:styleId="PlainText">
    <w:name w:val="Plain Text"/>
    <w:basedOn w:val="Normal"/>
    <w:link w:val="PlainTextChar"/>
    <w:rsid w:val="00284C67"/>
    <w:pPr>
      <w:spacing w:before="100" w:beforeAutospacing="1" w:after="100" w:afterAutospacing="1"/>
    </w:pPr>
    <w:rPr>
      <w:rFonts w:ascii="Times New Roman" w:hAnsi="Times New Roman"/>
      <w:sz w:val="24"/>
    </w:rPr>
  </w:style>
  <w:style w:type="character" w:customStyle="1" w:styleId="PlainTextChar">
    <w:name w:val="Plain Text Char"/>
    <w:basedOn w:val="DefaultParagraphFont"/>
    <w:link w:val="PlainText"/>
    <w:rsid w:val="00284C67"/>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D8"/>
    <w:rPr>
      <w:rFonts w:ascii="Arial" w:hAnsi="Arial"/>
      <w:sz w:val="22"/>
      <w:szCs w:val="24"/>
      <w:lang w:eastAsia="en-AU"/>
    </w:rPr>
  </w:style>
  <w:style w:type="paragraph" w:styleId="Heading1">
    <w:name w:val="heading 1"/>
    <w:basedOn w:val="Normal"/>
    <w:next w:val="Normal"/>
    <w:link w:val="Heading1Char"/>
    <w:qFormat/>
    <w:rsid w:val="006A073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073D"/>
    <w:rPr>
      <w:rFonts w:ascii="Cambria" w:hAnsi="Cambria"/>
      <w:b/>
      <w:bCs/>
      <w:kern w:val="32"/>
      <w:sz w:val="32"/>
      <w:szCs w:val="32"/>
      <w:lang w:val="en-US"/>
    </w:rPr>
  </w:style>
  <w:style w:type="character" w:styleId="Emphasis">
    <w:name w:val="Emphasis"/>
    <w:uiPriority w:val="20"/>
    <w:qFormat/>
    <w:rsid w:val="006A073D"/>
    <w:rPr>
      <w:i/>
      <w:iCs/>
    </w:rPr>
  </w:style>
  <w:style w:type="paragraph" w:styleId="ListParagraph">
    <w:name w:val="List Paragraph"/>
    <w:basedOn w:val="Normal"/>
    <w:uiPriority w:val="34"/>
    <w:qFormat/>
    <w:rsid w:val="006A073D"/>
    <w:pPr>
      <w:spacing w:after="200" w:line="276" w:lineRule="auto"/>
      <w:ind w:left="720"/>
      <w:contextualSpacing/>
    </w:pPr>
    <w:rPr>
      <w:rFonts w:ascii="Calibri" w:eastAsia="Calibri" w:hAnsi="Calibri"/>
      <w:szCs w:val="22"/>
    </w:rPr>
  </w:style>
  <w:style w:type="character" w:styleId="Hyperlink">
    <w:name w:val="Hyperlink"/>
    <w:basedOn w:val="DefaultParagraphFont"/>
    <w:uiPriority w:val="99"/>
    <w:unhideWhenUsed/>
    <w:rsid w:val="009F5A27"/>
    <w:rPr>
      <w:color w:val="0000FF" w:themeColor="hyperlink"/>
      <w:u w:val="single"/>
    </w:rPr>
  </w:style>
  <w:style w:type="character" w:styleId="FollowedHyperlink">
    <w:name w:val="FollowedHyperlink"/>
    <w:basedOn w:val="DefaultParagraphFont"/>
    <w:uiPriority w:val="99"/>
    <w:semiHidden/>
    <w:unhideWhenUsed/>
    <w:rsid w:val="002011E5"/>
    <w:rPr>
      <w:color w:val="800080" w:themeColor="followedHyperlink"/>
      <w:u w:val="single"/>
    </w:rPr>
  </w:style>
  <w:style w:type="paragraph" w:styleId="FootnoteText">
    <w:name w:val="footnote text"/>
    <w:basedOn w:val="Normal"/>
    <w:link w:val="FootnoteTextChar"/>
    <w:semiHidden/>
    <w:rsid w:val="00284C67"/>
    <w:rPr>
      <w:rFonts w:ascii="Times New Roman" w:hAnsi="Times New Roman"/>
      <w:sz w:val="20"/>
      <w:szCs w:val="20"/>
    </w:rPr>
  </w:style>
  <w:style w:type="character" w:customStyle="1" w:styleId="FootnoteTextChar">
    <w:name w:val="Footnote Text Char"/>
    <w:basedOn w:val="DefaultParagraphFont"/>
    <w:link w:val="FootnoteText"/>
    <w:semiHidden/>
    <w:rsid w:val="00284C67"/>
    <w:rPr>
      <w:lang w:eastAsia="en-AU"/>
    </w:rPr>
  </w:style>
  <w:style w:type="character" w:styleId="FootnoteReference">
    <w:name w:val="footnote reference"/>
    <w:semiHidden/>
    <w:rsid w:val="00284C67"/>
    <w:rPr>
      <w:vertAlign w:val="superscript"/>
    </w:rPr>
  </w:style>
  <w:style w:type="paragraph" w:styleId="PlainText">
    <w:name w:val="Plain Text"/>
    <w:basedOn w:val="Normal"/>
    <w:link w:val="PlainTextChar"/>
    <w:rsid w:val="00284C67"/>
    <w:pPr>
      <w:spacing w:before="100" w:beforeAutospacing="1" w:after="100" w:afterAutospacing="1"/>
    </w:pPr>
    <w:rPr>
      <w:rFonts w:ascii="Times New Roman" w:hAnsi="Times New Roman"/>
      <w:sz w:val="24"/>
    </w:rPr>
  </w:style>
  <w:style w:type="character" w:customStyle="1" w:styleId="PlainTextChar">
    <w:name w:val="Plain Text Char"/>
    <w:basedOn w:val="DefaultParagraphFont"/>
    <w:link w:val="PlainText"/>
    <w:rsid w:val="00284C67"/>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2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Uniting Church Synod of Victoria and Tasmania</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Zirnsak</dc:creator>
  <cp:lastModifiedBy>Brent Lyons-Lee</cp:lastModifiedBy>
  <cp:revision>2</cp:revision>
  <dcterms:created xsi:type="dcterms:W3CDTF">2014-07-08T01:20:00Z</dcterms:created>
  <dcterms:modified xsi:type="dcterms:W3CDTF">2014-07-08T01:20:00Z</dcterms:modified>
</cp:coreProperties>
</file>